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DE04D">
      <w:pPr>
        <w:kinsoku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采购公告</w:t>
      </w:r>
    </w:p>
    <w:p w14:paraId="4D87B855">
      <w:pPr>
        <w:kinsoku w:val="0"/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="仿宋_GB2312" w:hAnsi="仿宋_GB2312" w:eastAsia="仿宋_GB2312" w:cs="仿宋_GB2312"/>
          <w:b/>
          <w:bCs/>
          <w:w w:val="9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b/>
          <w:bCs/>
          <w:w w:val="90"/>
          <w:sz w:val="32"/>
          <w:szCs w:val="32"/>
          <w:lang w:val="en-US" w:eastAsia="zh-CN"/>
        </w:rPr>
        <w:t>株洲经开区中车双碳产业园二期建设项目工程总承包</w:t>
      </w:r>
    </w:p>
    <w:p w14:paraId="18665C80">
      <w:pPr>
        <w:kinsoku w:val="0"/>
        <w:autoSpaceDE w:val="0"/>
        <w:autoSpaceDN w:val="0"/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项目地点：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株洲市石峰区</w:t>
      </w:r>
    </w:p>
    <w:p w14:paraId="798DB858">
      <w:pPr>
        <w:kinsoku w:val="0"/>
        <w:autoSpaceDE w:val="0"/>
        <w:autoSpaceDN w:val="0"/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采购标的：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钢筋工劳务</w:t>
      </w:r>
    </w:p>
    <w:p w14:paraId="4965A0E9">
      <w:pPr>
        <w:kinsoku w:val="0"/>
        <w:autoSpaceDE w:val="0"/>
        <w:autoSpaceDN w:val="0"/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标的简介及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预计数量：</w:t>
      </w:r>
    </w:p>
    <w:tbl>
      <w:tblPr>
        <w:tblStyle w:val="6"/>
        <w:tblpPr w:leftFromText="180" w:rightFromText="180" w:vertAnchor="text" w:horzAnchor="page" w:tblpX="2020" w:tblpY="507"/>
        <w:tblOverlap w:val="never"/>
        <w:tblW w:w="82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1825"/>
        <w:gridCol w:w="3210"/>
        <w:gridCol w:w="1035"/>
        <w:gridCol w:w="1350"/>
      </w:tblGrid>
      <w:tr w14:paraId="6DA52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DCBCC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6D23A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left="0" w:leftChars="0" w:right="0" w:rightChars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施工项目</w:t>
            </w:r>
          </w:p>
        </w:tc>
        <w:tc>
          <w:tcPr>
            <w:tcW w:w="32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C6A5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0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31D5F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C928B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585" w:lineRule="atLeast"/>
              <w:ind w:right="0"/>
              <w:jc w:val="center"/>
              <w:textAlignment w:val="baseline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20"/>
                <w:szCs w:val="20"/>
                <w:u w:val="none"/>
                <w:shd w:val="clear" w:color="auto" w:fill="FFFFFF"/>
                <w:vertAlign w:val="baseline"/>
                <w:lang w:val="en-US" w:eastAsia="zh-CN"/>
              </w:rPr>
              <w:t>预计工程量</w:t>
            </w:r>
          </w:p>
        </w:tc>
      </w:tr>
      <w:tr w14:paraId="55306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B8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DEEA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正负零以下钢筋制安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FD5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除钢筋主材、马凳筋原材料、止水钢板、预埋套管等主材甲供外，其余包工包料、包加工机械、包含人工制作、绑扎、安装、场内转运、辅材耗用、小型机具、现场配合及成品保护全部工作内容。含止水钢板、止水带制安及焊接，含垫块、塑料马凳及铁马凳的加工安装，电梯井封闭钢筋等包括但不限 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场内材料转运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施工现场钢筋原材、下料半成品从堆场人工二次转运至加工棚、作业楼层、施工部位，场内水平、垂直人工搬运全部包含。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综合考虑各种钢筋类别、型号的钢筋翻样与下料制作；包含但不限于混凝土标高控制点钢筋制作安装、孔桩钢筋、外架卸料平台及悬挑工字钢钢丝绳拉环制作安装及割除，包括一体化施工部位钢筋的制作安装，包括钢筋车间布置及机械就位，施工电梯及塔吊基础等部位钢筋制作绑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负责施工图纸、规范、图集钢筋翻样、料单编制；所有梁、板、柱、墙、基础、构造柱、过梁、圈梁等钢筋切断、弯曲、套丝、弯钩、成型下料全部人工制作。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考虑各种连接（绑扎、电渣压力焊、对焊、气压焊、直螺纹套筒连接及套丝）；含必要的脚手架和操作平台搭设、相关辅材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基础、筏板、承台、地梁、主体柱、剪力墙、梁、楼板、屋面、楼梯、飘窗、阳台、线条等所有结构钢筋绑扎、就位、固定、调直校正。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措施钢筋制安（人工全包）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包含马凳筋、定位筋、梯子筋、墙柱定位箍、撑筋、拉结筋等所有措施筋的制作、焊接、安装人工（不含措施筋原材料材料费）。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二次结构、零星钢筋、植筋等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构造柱、过梁、窗台压顶、圈梁、栏板、后浇带、伸缩缝、洞口加强筋、楼板阴阳角附加筋、钢筋植筋的制作及安装（含植筋胶等）等全部零星钢筋制安。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预埋、预留及配合工作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配合水电、消防、暖通专业预留钢筋洞口、筋位避让调整；人防、门窗洞口、设备洞口加强筋安装；各类预埋件、预埋螺栓周边钢筋配合排布、加固就位。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辅材及耗材（清包自带承担）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自带并使用：绑扎丝、电焊条、切割片、砂轮片、墨线、扎带等所有辅材耗材；含焊接、帮条焊、搭接焊人工及辅材。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小型机具及工具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自带全套施工机具：钢筋切断机、弯曲机、调直机、弯箍机、套丝机、切割机、电焊机、手持工具、撬棍、扳手、卷尺、安全帽安全带劳保用品等，机具维修、保养、更换全部自理。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现场清理与文明施工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钢筋作业面余料清理、废料分类堆放、加工棚日常清理、楼层钢筋杂物清运；做到工完场清，符合项目部文明施工要求。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成品保护及整改配合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钢筋绑扎完成后自检验收、成品保护；配合施工员、监理、甲方、质监站验收；验收提出的钢筋移位、间距、锚固、搭接等整改返工全部无偿包含。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临时及配合用工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配合模板、木工、混凝土班组交叉作业；浇筑混凝土时派人看筋、守筋、随时校正钢筋位移、踩踏复位；现场临时钢筋调整、零星修补全部包含。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12、包括塔吊未覆盖范围及塔吊未安装前必要的人工水平和垂直运输。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13、废料池的钢筋应作为其他构造钢筋充分利用，严禁出现能利用的钢筋作为废料丢弃的情况，废料钢筋需及时装入废料池。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A6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吨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6A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  <w:t>350</w:t>
            </w:r>
          </w:p>
        </w:tc>
      </w:tr>
      <w:tr w14:paraId="143D7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85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B7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5DC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正负零以上钢筋制安</w:t>
            </w:r>
          </w:p>
        </w:tc>
        <w:tc>
          <w:tcPr>
            <w:tcW w:w="32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B84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除钢筋主材、马凳筋原材料、止水钢板、预埋套管等主材甲供外，其余包工包料、包加工机械、包含人工制作、绑扎、安装、场内转运、辅材耗用、小型机具、现场配合及成品保护全部工作内容。含止水钢板、止水带制安及焊接，含垫块、塑料马凳及铁马凳的加工安装，电梯井封闭钢筋等包括但不限 于：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场内材料转运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施工现场钢筋原材、下料半成品从堆场人工二次转运至加工棚、作业楼层、施工部位，场内水平、垂直人工搬运全部包含。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综合考虑各种钢筋类别、型号的钢筋翻样与下料制作；包含但不限于混凝土标高控制点钢筋制作安装、孔桩钢筋、外架卸料平台及悬挑工字钢钢丝绳拉环制作安装及割除，包括一体化施工部位钢筋的制作安装，包括钢筋车间布置及机械就位，施工电梯及塔吊基础等部位钢筋制作绑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负责施工图纸、规范、图集钢筋翻样、料单编制；所有梁、板、柱、墙、基础、构造柱、过梁、圈梁等钢筋切断、弯曲、套丝、弯钩、成型下料全部人工制作。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考虑各种连接（绑扎、电渣压力焊、对焊、气压焊、直螺纹套筒连接及套丝）；含必要的脚手架和操作平台搭设、相关辅材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基础、筏板、承台、地梁、主体柱、剪力墙、梁、楼板、屋面、楼梯、飘窗、阳台、线条等所有结构钢筋绑扎、就位、固定、调直校正。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措施钢筋制安（人工全包）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包含马凳筋、定位筋、梯子筋、墙柱定位箍、撑筋、拉结筋等所有措施筋的制作、焊接、安装人工（不含措施筋原材料材料费）。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二次结构、零星钢筋、植筋等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构造柱、过梁、窗台压顶、圈梁、栏板、后浇带、伸缩缝、洞口加强筋、楼板阴阳角附加筋、钢筋植筋的制作及安装（含植筋胶等）等全部零星钢筋制安。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预埋、预留及配合工作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配合水电、消防、暖通专业预留钢筋洞口、筋位避让调整；人防、门窗洞口、设备洞口加强筋安装；各类预埋件、预埋螺栓周边钢筋配合排布、加固就位。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辅材及耗材（清包自带承担）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自带并使用：绑扎丝、电焊条、切割片、砂轮片、墨线、扎带等所有辅材耗材；含焊接、帮条焊、搭接焊人工及辅材。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小型机具及工具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自带全套施工机具：钢筋切断机、弯曲机、调直机、弯箍机、套丝机、切割机、电焊机、手持工具、撬棍、扳手、卷尺、安全帽安全带劳保用品等，机具维修、保养、更换全部自理。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现场清理与文明施工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钢筋作业面余料清理、废料分类堆放、加工棚日常清理、楼层钢筋杂物清运；做到工完场清，符合项目部文明施工要求。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成品保护及整改配合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钢筋绑扎完成后自检验收、成品保护；配合施工员、监理、甲方、质监站验收；验收提出的钢筋移位、间距、锚固、搭接等整改返工全部无偿包含。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11.</w:t>
            </w:r>
            <w:r>
              <w:rPr>
                <w:rFonts w:ascii="Arial" w:hAnsi="Arial" w:eastAsia="仿宋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临时及配合用工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配合模板、木工、混凝土班组交叉作业；浇筑混凝土时派人看筋、守筋、随时校正钢筋位移、踩踏复位；现场临时钢筋调整、零星修补全部包含。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12、包括塔吊未覆盖范围及塔吊未安装前必要的人工水平和垂直运输。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13、废料池的钢筋应作为其他构造钢筋充分利用，严禁出现能利用的钢筋作为废料丢弃的情况，废料钢筋需及时装入废料池。</w:t>
            </w:r>
          </w:p>
        </w:tc>
        <w:tc>
          <w:tcPr>
            <w:tcW w:w="10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8A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2C3E50"/>
                <w:kern w:val="0"/>
                <w:sz w:val="21"/>
                <w:szCs w:val="21"/>
                <w:u w:val="none"/>
                <w:lang w:val="en-US" w:eastAsia="zh-CN" w:bidi="ar"/>
              </w:rPr>
              <w:t>吨</w:t>
            </w:r>
          </w:p>
        </w:tc>
        <w:tc>
          <w:tcPr>
            <w:tcW w:w="13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07B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kern w:val="2"/>
                <w:sz w:val="20"/>
                <w:szCs w:val="20"/>
                <w:u w:val="none"/>
                <w:vertAlign w:val="baseline"/>
                <w:lang w:val="en-US" w:eastAsia="zh-CN" w:bidi="ar-SA"/>
              </w:rPr>
              <w:t>522</w:t>
            </w:r>
          </w:p>
        </w:tc>
      </w:tr>
    </w:tbl>
    <w:p w14:paraId="11462F12">
      <w:pPr>
        <w:kinsoku w:val="0"/>
        <w:autoSpaceDE w:val="0"/>
        <w:autoSpaceDN w:val="0"/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预计采购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和方式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>线上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</w:p>
    <w:p w14:paraId="4759D948">
      <w:pPr>
        <w:kinsoku w:val="0"/>
        <w:autoSpaceDE w:val="0"/>
        <w:autoSpaceDN w:val="0"/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注意事项：</w:t>
      </w:r>
    </w:p>
    <w:p w14:paraId="757D5403">
      <w:pPr>
        <w:pStyle w:val="2"/>
        <w:rPr>
          <w:rFonts w:hint="eastAsia"/>
          <w:lang w:val="en-US" w:eastAsia="zh-CN"/>
        </w:rPr>
      </w:pPr>
    </w:p>
    <w:p w14:paraId="02E52B14">
      <w:pPr>
        <w:numPr>
          <w:ilvl w:val="0"/>
          <w:numId w:val="1"/>
        </w:numPr>
        <w:kinsoku w:val="0"/>
        <w:autoSpaceDE w:val="0"/>
        <w:autoSpaceDN w:val="0"/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线上采购</w:t>
      </w:r>
    </w:p>
    <w:p w14:paraId="5E17C75A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1、项目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预计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2026年5月13日在荷云采平台（网址：https://zb.holdcg.com/ebidding/#/login）履行招标程序，并在荷云采平台发布招标文件；</w:t>
      </w:r>
    </w:p>
    <w:p w14:paraId="0D95AACA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2、有意参与线上投标者，请在招标程序预计履行时间前，在荷云采平台注册并申请准入我司供应商库，我司将会在荷云采平台邀请库内所有具备建筑劳务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lang w:val="en-US" w:eastAsia="zh-CN"/>
        </w:rPr>
        <w:t>钢筋工劳务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施工能力的单位参与投标；</w:t>
      </w:r>
    </w:p>
    <w:p w14:paraId="58A07356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3、投标文件的递交时间及详细要求详见荷云采平台发布的招标文件。</w:t>
      </w:r>
    </w:p>
    <w:p w14:paraId="72047D77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613908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ind w:left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对供应商基本要求：1.具有一定垫资能力，具有良好的信誉，未被列入各级信用信息共享平台失信被执行人。</w:t>
      </w:r>
    </w:p>
    <w:p w14:paraId="275F6D3B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360" w:lineRule="auto"/>
        <w:ind w:leftChars="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2.必须注册成为荷云采招采平台会员，并在该平台注册成为国信建设集团股份有限公司的供应商。</w:t>
      </w:r>
    </w:p>
    <w:p w14:paraId="06A132BC">
      <w:pPr>
        <w:kinsoku w:val="0"/>
        <w:autoSpaceDE w:val="0"/>
        <w:autoSpaceDN w:val="0"/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申明事项：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无</w:t>
      </w:r>
    </w:p>
    <w:p w14:paraId="6797BA15">
      <w:pPr>
        <w:kinsoku w:val="0"/>
        <w:autoSpaceDE w:val="0"/>
        <w:autoSpaceDN w:val="0"/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联系人: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李先生 15367185151</w:t>
      </w:r>
    </w:p>
    <w:p w14:paraId="49829D86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7D0562E7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湖南国信建设集团股份有限公司                                                                                              </w:t>
      </w:r>
    </w:p>
    <w:p w14:paraId="64C350A2">
      <w:pPr>
        <w:kinsoku w:val="0"/>
        <w:autoSpaceDE w:val="0"/>
        <w:autoSpaceDN w:val="0"/>
        <w:adjustRightInd w:val="0"/>
        <w:snapToGrid w:val="0"/>
        <w:spacing w:line="360" w:lineRule="auto"/>
        <w:ind w:left="5750" w:leftChars="2432" w:hanging="643" w:hanging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1490D0"/>
    <w:multiLevelType w:val="singleLevel"/>
    <w:tmpl w:val="671490D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iY2JiOTg2NWVmODA0YmE3Nzg1YWI1NzhiZWE4NDg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46B3628"/>
    <w:rsid w:val="05BB6587"/>
    <w:rsid w:val="07E24E03"/>
    <w:rsid w:val="0E5144C2"/>
    <w:rsid w:val="13241C4C"/>
    <w:rsid w:val="14123F56"/>
    <w:rsid w:val="150171F7"/>
    <w:rsid w:val="153D497F"/>
    <w:rsid w:val="16505BC7"/>
    <w:rsid w:val="17925A71"/>
    <w:rsid w:val="18321127"/>
    <w:rsid w:val="1BBC22C6"/>
    <w:rsid w:val="1EC5307A"/>
    <w:rsid w:val="1F1E0ED6"/>
    <w:rsid w:val="1F561FF2"/>
    <w:rsid w:val="1FB07628"/>
    <w:rsid w:val="22790AAA"/>
    <w:rsid w:val="22D0711D"/>
    <w:rsid w:val="261202F6"/>
    <w:rsid w:val="26672769"/>
    <w:rsid w:val="27466C40"/>
    <w:rsid w:val="27D021DD"/>
    <w:rsid w:val="27F4247E"/>
    <w:rsid w:val="2B843649"/>
    <w:rsid w:val="32820081"/>
    <w:rsid w:val="336A2D83"/>
    <w:rsid w:val="35AF7FFB"/>
    <w:rsid w:val="360D5201"/>
    <w:rsid w:val="36183DCF"/>
    <w:rsid w:val="36424D44"/>
    <w:rsid w:val="37621F23"/>
    <w:rsid w:val="38813853"/>
    <w:rsid w:val="3D187A09"/>
    <w:rsid w:val="3F033196"/>
    <w:rsid w:val="3FE95EE5"/>
    <w:rsid w:val="40006772"/>
    <w:rsid w:val="407451A1"/>
    <w:rsid w:val="42072EA5"/>
    <w:rsid w:val="43E24BAA"/>
    <w:rsid w:val="4AC22796"/>
    <w:rsid w:val="4BA47B87"/>
    <w:rsid w:val="4C8D2CCC"/>
    <w:rsid w:val="4D16166A"/>
    <w:rsid w:val="4D965D89"/>
    <w:rsid w:val="4EF96B5B"/>
    <w:rsid w:val="50D6023A"/>
    <w:rsid w:val="50E50D0D"/>
    <w:rsid w:val="51B873D2"/>
    <w:rsid w:val="53C438F2"/>
    <w:rsid w:val="55720399"/>
    <w:rsid w:val="56795A8E"/>
    <w:rsid w:val="56C51F97"/>
    <w:rsid w:val="56F717C7"/>
    <w:rsid w:val="580A75F0"/>
    <w:rsid w:val="588F5913"/>
    <w:rsid w:val="589650EA"/>
    <w:rsid w:val="59377DAA"/>
    <w:rsid w:val="5A777061"/>
    <w:rsid w:val="5ABD5FBE"/>
    <w:rsid w:val="60232902"/>
    <w:rsid w:val="60B75803"/>
    <w:rsid w:val="633C6871"/>
    <w:rsid w:val="65130274"/>
    <w:rsid w:val="696E3598"/>
    <w:rsid w:val="69E2765A"/>
    <w:rsid w:val="69E64EF1"/>
    <w:rsid w:val="69E87392"/>
    <w:rsid w:val="6E7973F5"/>
    <w:rsid w:val="71574006"/>
    <w:rsid w:val="726821D9"/>
    <w:rsid w:val="770E47E5"/>
    <w:rsid w:val="79181DE4"/>
    <w:rsid w:val="7B770E2E"/>
    <w:rsid w:val="7C565F1D"/>
    <w:rsid w:val="7D142688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" w:hAnsi="仿宋" w:eastAsia="仿宋" w:cs="仿宋"/>
      <w:color w:val="2C3E50"/>
      <w:sz w:val="20"/>
      <w:szCs w:val="20"/>
      <w:u w:val="none"/>
    </w:rPr>
  </w:style>
  <w:style w:type="character" w:customStyle="1" w:styleId="14">
    <w:name w:val="font51"/>
    <w:basedOn w:val="7"/>
    <w:qFormat/>
    <w:uiPriority w:val="0"/>
    <w:rPr>
      <w:rFonts w:hint="eastAsia" w:ascii="宋体" w:hAnsi="宋体" w:eastAsia="宋体" w:cs="宋体"/>
      <w:color w:val="2C3E5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2779</Words>
  <Characters>2869</Characters>
  <Lines>1</Lines>
  <Paragraphs>1</Paragraphs>
  <TotalTime>377</TotalTime>
  <ScaleCrop>false</ScaleCrop>
  <LinksUpToDate>false</LinksUpToDate>
  <CharactersWithSpaces>2989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李立波</cp:lastModifiedBy>
  <cp:lastPrinted>2024-05-31T07:44:00Z</cp:lastPrinted>
  <dcterms:modified xsi:type="dcterms:W3CDTF">2026-05-11T00:42:45Z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eyJoZGlkIjoiZTM0N2EzYThiNDRkMDg3ZTJiYjlmNzQ5MmFjYzE2OWMiLCJ1c2VySWQiOiIzNjM0OTA1MzMifQ==</vt:lpwstr>
  </property>
</Properties>
</file>