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420" w:lineRule="atLeast"/>
        <w:ind w:right="0"/>
        <w:jc w:val="center"/>
        <w:rPr>
          <w:rFonts w:hint="eastAsia" w:ascii="仿宋_GB2312" w:hAnsi="仿宋_GB2312" w:eastAsia="仿宋_GB2312" w:cs="仿宋_GB2312"/>
          <w:b/>
          <w:bCs/>
          <w:i w:val="0"/>
          <w:iCs w:val="0"/>
          <w:caps w:val="0"/>
          <w:color w:val="252525"/>
          <w:spacing w:val="0"/>
          <w:kern w:val="0"/>
          <w:sz w:val="36"/>
          <w:szCs w:val="36"/>
          <w:shd w:val="clear" w:fill="FFFFFF"/>
          <w:lang w:val="en-US" w:eastAsia="zh-CN" w:bidi="ar"/>
        </w:rPr>
      </w:pPr>
      <w:r>
        <w:rPr>
          <w:rFonts w:hint="eastAsia" w:ascii="仿宋_GB2312" w:hAnsi="仿宋_GB2312" w:eastAsia="仿宋_GB2312" w:cs="仿宋_GB2312"/>
          <w:b/>
          <w:bCs/>
          <w:i w:val="0"/>
          <w:iCs w:val="0"/>
          <w:caps w:val="0"/>
          <w:color w:val="252525"/>
          <w:spacing w:val="0"/>
          <w:kern w:val="0"/>
          <w:sz w:val="36"/>
          <w:szCs w:val="36"/>
          <w:shd w:val="clear" w:fill="FFFFFF"/>
          <w:lang w:val="en-US" w:eastAsia="zh-CN" w:bidi="ar"/>
        </w:rPr>
        <w:t>比选评分细则</w:t>
      </w:r>
    </w:p>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采购人郑重声明：本次投标采用综合评价法。综合投标人的综合实力、实施方案以及报价进行评分。</w:t>
      </w:r>
    </w:p>
    <w:tbl>
      <w:tblPr>
        <w:tblStyle w:val="4"/>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758"/>
        <w:gridCol w:w="5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931" w:type="dxa"/>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比选内容</w:t>
            </w:r>
          </w:p>
        </w:tc>
        <w:tc>
          <w:tcPr>
            <w:tcW w:w="7020" w:type="dxa"/>
            <w:gridSpan w:val="2"/>
            <w:noWrap w:val="0"/>
            <w:vAlign w:val="center"/>
          </w:tcPr>
          <w:p>
            <w:pPr>
              <w:keepNext w:val="0"/>
              <w:keepLines w:val="0"/>
              <w:widowControl/>
              <w:suppressLineNumbers w:val="0"/>
              <w:shd w:val="clear" w:fill="FFFFFF"/>
              <w:spacing w:before="0" w:beforeAutospacing="0" w:after="0" w:afterAutospacing="0" w:line="420" w:lineRule="atLeast"/>
              <w:ind w:right="0"/>
              <w:jc w:val="cente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比选标准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restart"/>
            <w:noWrap w:val="0"/>
            <w:vAlign w:val="center"/>
          </w:tcPr>
          <w:p>
            <w:pPr>
              <w:keepNext w:val="0"/>
              <w:keepLines w:val="0"/>
              <w:widowControl/>
              <w:suppressLineNumbers w:val="0"/>
              <w:shd w:val="clear" w:fill="FFFFFF"/>
              <w:spacing w:before="0" w:beforeAutospacing="0" w:after="0" w:afterAutospacing="0" w:line="420" w:lineRule="atLeast"/>
              <w:ind w:right="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咨询机构综合实力（20分）</w:t>
            </w:r>
          </w:p>
        </w:tc>
        <w:tc>
          <w:tcPr>
            <w:tcW w:w="1758" w:type="dxa"/>
            <w:vMerge w:val="restart"/>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咨询机构人数（5分）</w:t>
            </w: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咨询机构总人数超过50人的（5分）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1758" w:type="dxa"/>
            <w:vMerge w:val="continue"/>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firstLine="480" w:firstLineChars="20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咨询机构总人数40-50人的（4分）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1758" w:type="dxa"/>
            <w:vMerge w:val="continue"/>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firstLine="480" w:firstLineChars="20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咨询机构总人数40人以下的（3分）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1758"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派出注册资产评估师或其他高级职称人数（5分）</w:t>
            </w: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注册资产评估师2人其他高级职称1人（5分）,注册资产评估师2人（4分）,注册资产评估师1人（3分）,无注册资产评估师（0分）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1758" w:type="dxa"/>
            <w:vMerge w:val="restart"/>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类似业绩</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（10分）</w:t>
            </w: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提供2例及以上类似业绩（10分）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1758" w:type="dxa"/>
            <w:vMerge w:val="continue"/>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提供1例及以上类似业绩（5分）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1758" w:type="dxa"/>
            <w:vMerge w:val="continue"/>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未能提供类似业绩（0分）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restart"/>
            <w:noWrap w:val="0"/>
            <w:vAlign w:val="center"/>
          </w:tcPr>
          <w:p>
            <w:pPr>
              <w:keepNext w:val="0"/>
              <w:keepLines w:val="0"/>
              <w:widowControl/>
              <w:suppressLineNumbers w:val="0"/>
              <w:shd w:val="clear" w:fill="FFFFFF"/>
              <w:spacing w:before="0" w:beforeAutospacing="0" w:after="0" w:afterAutospacing="0" w:line="420" w:lineRule="atLeast"/>
              <w:ind w:right="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服务方案</w:t>
            </w:r>
          </w:p>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（40分）</w:t>
            </w:r>
          </w:p>
        </w:tc>
        <w:tc>
          <w:tcPr>
            <w:tcW w:w="7020" w:type="dxa"/>
            <w:gridSpan w:val="2"/>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团队专业能力强，服务方案思路清晰、内容完整、合理、可操作性强（30-40分）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7020" w:type="dxa"/>
            <w:gridSpan w:val="2"/>
            <w:noWrap w:val="0"/>
            <w:vAlign w:val="top"/>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团队专业能力较强，服务方案思路较清晰、内容较完整、较合理、可操作性较强（15-30分）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7020" w:type="dxa"/>
            <w:gridSpan w:val="2"/>
            <w:noWrap w:val="0"/>
            <w:vAlign w:val="top"/>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团队专业能力一般，服务方案思路较模糊、内容欠完备、欠合理，但具有一定的可操作性的（0-15分）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noWrap w:val="0"/>
            <w:vAlign w:val="center"/>
          </w:tcPr>
          <w:p>
            <w:pPr>
              <w:keepNext w:val="0"/>
              <w:keepLines w:val="0"/>
              <w:widowControl/>
              <w:suppressLineNumbers w:val="0"/>
              <w:shd w:val="clear" w:fill="FFFFFF"/>
              <w:spacing w:before="0" w:beforeAutospacing="0" w:after="0" w:afterAutospacing="0" w:line="420" w:lineRule="atLeast"/>
              <w:ind w:right="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报价（40分）</w:t>
            </w:r>
          </w:p>
        </w:tc>
        <w:tc>
          <w:tcPr>
            <w:tcW w:w="7020" w:type="dxa"/>
            <w:gridSpan w:val="2"/>
            <w:noWrap w:val="0"/>
            <w:vAlign w:val="top"/>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报价最低为基准，得满分。其他报价与基准相比每相差10%扣2分，最多扣40分。</w:t>
            </w:r>
          </w:p>
        </w:tc>
      </w:tr>
    </w:tbl>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所报价格为含增值税专用发票税金费用总额，包括差旅费、住宿费、工作协调费等费用。投标方一旦被确定中标，采购人将严格按照双方谈判确定的价格签订、执行合同约定，双方不再就价格问题进行磋商，除非我公司认为有必要。</w:t>
      </w:r>
    </w:p>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各投标人应本着长期合作、专业服务的精神，以优惠的价格</w:t>
      </w:r>
      <w:bookmarkStart w:id="0" w:name="_GoBack"/>
      <w:bookmarkEnd w:id="0"/>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报价，但亦严格保证业务质量，一旦发现投标人及指派往采购人的人员情况与专业水平与标书所述不符，或投标人及指派往采购人的人员实际从业能力无法达到采购人的要求，或投标人及指派往采购人人员的过错给采购人带来损失的，或不能按本招标文件要求提供服务的，采购人保留中途解聘并要求赔偿的权利，且采购人将不承担任何费用并有权追回已支付的所有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OTg2ZWFmMTRlMzM4NDNmYjhhNjVjYmJiZjk5MzMifQ=="/>
  </w:docVars>
  <w:rsids>
    <w:rsidRoot w:val="661D42DE"/>
    <w:rsid w:val="1A9B1AC7"/>
    <w:rsid w:val="27F40A1E"/>
    <w:rsid w:val="3A590DB8"/>
    <w:rsid w:val="4668275E"/>
    <w:rsid w:val="661D42DE"/>
    <w:rsid w:val="672C7B48"/>
    <w:rsid w:val="7D211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line="360" w:lineRule="auto"/>
      <w:outlineLvl w:val="0"/>
    </w:pPr>
    <w:rPr>
      <w:b/>
      <w:bCs/>
      <w:kern w:val="44"/>
      <w:sz w:val="32"/>
      <w:szCs w:val="44"/>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OC 标题1"/>
    <w:basedOn w:val="2"/>
    <w:next w:val="1"/>
    <w:autoRedefine/>
    <w:qFormat/>
    <w:uiPriority w:val="0"/>
    <w:pPr>
      <w:keepNext/>
      <w:keepLines/>
      <w:widowControl/>
      <w:spacing w:before="480" w:line="276" w:lineRule="auto"/>
      <w:jc w:val="left"/>
      <w:outlineLvl w:val="9"/>
    </w:pPr>
    <w:rPr>
      <w:rFonts w:ascii="Cambria" w:hAnsi="Cambria" w:eastAsia="宋体" w:cs="Times New Roman"/>
      <w:color w:val="366091"/>
      <w:kern w:val="0"/>
      <w:sz w:val="28"/>
      <w:szCs w:val="28"/>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2023-03-08T06:22:00Z</dcterms:created>
  <dc:creator>〓荆棘〓</dc:creator>
  <cp:lastModifiedBy>YA</cp:lastModifiedBy>
  <dcterms:modified xsi:type="dcterms:W3CDTF">2024-03-04T02:35:16Z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A4144042B047466E8E0801E847B4759D</vt:lpwstr>
  </property>
</Properties>
</file>